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63" w:after="163"/>
        <w:rPr>
          <w:rFonts w:ascii="宋体" w:hAnsi="宋体"/>
        </w:rPr>
      </w:pPr>
      <w:r>
        <w:rPr>
          <w:rFonts w:hint="eastAsia" w:ascii="宋体" w:hAnsi="宋体"/>
        </w:rPr>
        <w:t>投标分项报价表</w:t>
      </w:r>
    </w:p>
    <w:p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项目编号：ZFCG-G2018214-1号</w:t>
      </w:r>
    </w:p>
    <w:p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项目名称：立交桥内涝检测预警系统</w:t>
      </w:r>
    </w:p>
    <w:tbl>
      <w:tblPr>
        <w:tblStyle w:val="3"/>
        <w:tblW w:w="12373" w:type="dxa"/>
        <w:tblInd w:w="517" w:type="dxa"/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418"/>
        <w:gridCol w:w="1559"/>
        <w:gridCol w:w="3969"/>
        <w:gridCol w:w="709"/>
        <w:gridCol w:w="708"/>
        <w:gridCol w:w="993"/>
        <w:gridCol w:w="992"/>
        <w:gridCol w:w="1276"/>
      </w:tblGrid>
      <w:tr>
        <w:tblPrEx>
          <w:shd w:val="clear" w:color="auto" w:fill="FFFFFF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7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品牌</w:t>
            </w:r>
            <w:r>
              <w:rPr>
                <w:rFonts w:hint="eastAsia"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规格</w:t>
            </w:r>
            <w:r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型号</w:t>
            </w:r>
          </w:p>
        </w:tc>
        <w:tc>
          <w:tcPr>
            <w:tcW w:w="396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技术参数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99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单价</w:t>
            </w:r>
          </w:p>
        </w:tc>
        <w:tc>
          <w:tcPr>
            <w:tcW w:w="99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总价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产地及厂家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激光水位计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武汉新烽光电/WGX20-A-1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.电源:DC 6-26V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.量程:0-20m，并可升级配置30m的量程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.精度: ±3mm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.分辨率: 1mm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.功耗: 测量&lt;</w:t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W,待机&lt;9mA(12V)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.光束角：小于0.01°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.盲区：&lt;5cm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.接口: RS485接口标准Modbus-RTU协议（可选4-20mA）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.套管直径:75mm,110mm(其它可定制)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0.套管材质:金属,PVC等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11.工作温度: -20℃～60℃（无凝露）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工作湿度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：0-95%RH(无凝露)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3.储存温度：-30~65℃（无凝露）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3500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遥测终端RTU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武汉新烽光电</w:t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XF-RTU-N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.供电范围：DC 6-26V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.待机电流：&lt; 0.9mA(12V)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.工作电流：&lt; 6mA (12V)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.工作温度：-30℃ ~ 60℃ （无结冰）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.工作湿度：&lt; 95%RH（40℃）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.存储温度：-40―+80℃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.外形尺寸：172x114x33mm(长x宽x高)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接口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3路RS485、2路脉冲，2路4-20mA输入接口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水位计接口类型：4-20mA、格雷码、RS485接口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10.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报文编码：采用HEX/BCD 编码帧结构，定时加报、报警加报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符合《水文自动测报系统设备 遥测终端机》（SL180-2015）的行业标准要求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符合《水文监测数据通信规约》（SL651-2014）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13.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防雷模块：最大持续工作电流2A、标称工作电压12V、标称放电电流40KA、最大放电电流100KA，瞬间最大过电压10KV，响应时间≤1ns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14.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具备定时自动采集雨量、水位、图像、气温等数据的功能，数据采集间隔时间可任意设定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具备实时召测水位、图像、气温等数据的功能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具有雨量、水位、图片加报功能，加报门槛可任意设置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具备定时自检发送、死机自动复位、站址设定、掉电数据保护、实时时钟校准、设备测试等功能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 具备根据用户设置的相应预警值(时段雨量、水位等)实现本地预警提醒功能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19.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具备每次向接站点中心发送的数据包带有设备本身的工作(电池电压、信号强度)的具备储存5年以上的测站数据(最小时段5分钟)，储存容量不小于8M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支持远程设置、远程维护等功能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GPRS/GSM通信模块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191F25"/>
                <w:sz w:val="20"/>
                <w:szCs w:val="20"/>
                <w:shd w:val="clear" w:color="auto" w:fill="FFFFFF"/>
              </w:rPr>
              <w:t>武汉新烽光电/XFSIM7600CE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1.GPRS数据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支持GSM/GPRS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900/1800MHz双频和850/1900MHz双频可选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GPRS Class 10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2.CDMA数据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支持CDMA 1x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800MHz单频，可选450MHz或1900MHz单频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支持IS 707 数据业务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符合IS-95A、IS-95B CDMA 空中接口标准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3.接口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天线接口：SMA-K（阴头）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SIM/UIM卡：3V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串行数据接口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类型：TTL/RS-232/RS-422/RS-485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4.数据速率：标准   300~57600bps(57600bps默认)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a)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低功耗 300~19200bps(19200bps默认)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接口端子：3.5mm可插拔接线端子（14~24AWG线）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话音接口：标准语音电平输出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5.供电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电压：5~26VDC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6.功耗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①标准产品：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通信时平均电流：140mA@+12VDC（GPRS）135mA@+12VDC（CDMA）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空闲时平均电流： 30mA@+12VDC（GPRS）125mA@+12VDC（CDMA）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②低功耗设计产品：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通信时平均电流：130mA@+12VDC（GPRS）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空闲时平均电流： 20mA@+12VDC（GPRS）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7.其他参数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尺寸：93x54x22mm（不包括天线和安装件）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重量：150g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工作环境温度：-30~+70℃</w:t>
            </w:r>
          </w:p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储存温度：-40~+85℃</w:t>
            </w:r>
          </w:p>
          <w:p>
            <w:pPr>
              <w:widowControl/>
              <w:spacing w:line="240" w:lineRule="auto"/>
              <w:ind w:left="420"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8.相对湿度：&lt;95%（无凝结）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SIM卡及通信费用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通信专卡，定制、3年资费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张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设备安装箱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设备安装箱  304不锈钢；长*宽*高mm：500*220*605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防水防虫防锈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auto"/>
                <w:kern w:val="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auto"/>
                <w:kern w:val="0"/>
                <w:sz w:val="20"/>
                <w:szCs w:val="20"/>
              </w:rPr>
              <w:t>L</w:t>
            </w:r>
            <w:r>
              <w:rPr>
                <w:rFonts w:ascii="宋体" w:hAnsi="宋体" w:cs="Times New Roman"/>
                <w:color w:val="auto"/>
                <w:kern w:val="0"/>
                <w:sz w:val="20"/>
                <w:szCs w:val="20"/>
              </w:rPr>
              <w:t>ED</w:t>
            </w:r>
            <w:r>
              <w:rPr>
                <w:rFonts w:hint="eastAsia" w:ascii="宋体" w:hAnsi="宋体" w:cs="Times New Roman"/>
                <w:color w:val="auto"/>
                <w:kern w:val="0"/>
                <w:sz w:val="20"/>
                <w:szCs w:val="20"/>
              </w:rPr>
              <w:t>显示屏（1</w:t>
            </w:r>
            <w:r>
              <w:rPr>
                <w:rFonts w:ascii="宋体" w:hAnsi="宋体" w:cs="Times New Roman"/>
                <w:color w:val="auto"/>
                <w:kern w:val="0"/>
                <w:sz w:val="20"/>
                <w:szCs w:val="20"/>
              </w:rPr>
              <w:t>280*640</w:t>
            </w:r>
            <w:r>
              <w:rPr>
                <w:rFonts w:hint="eastAsia" w:ascii="宋体" w:hAnsi="宋体" w:cs="Times New Roman"/>
                <w:color w:val="auto"/>
                <w:kern w:val="0"/>
                <w:sz w:val="20"/>
                <w:szCs w:val="20"/>
              </w:rPr>
              <w:t>mm）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auto"/>
                <w:kern w:val="0"/>
                <w:sz w:val="20"/>
                <w:szCs w:val="20"/>
              </w:rPr>
              <w:t xml:space="preserve">强力巨彩/P10C4V1.6 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在政府采购产品节能清单目录中，并具备3</w:t>
            </w:r>
            <w:r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  <w:t>C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认证证书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物理点间距：10mm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使用寿命： 10万小时以上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物理密度： 10000点/平米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像素组成：单色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防护等级：户外屏、防雨防尘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最佳视距： 5m—100m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最佳视角： 120度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LED屏尺寸：1280*640mm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auto"/>
                <w:kern w:val="0"/>
                <w:sz w:val="20"/>
                <w:szCs w:val="20"/>
              </w:rPr>
              <w:t>M</w:t>
            </w:r>
            <w:r>
              <w:rPr>
                <w:rFonts w:ascii="宋体" w:hAnsi="宋体" w:cs="Times New Roman"/>
                <w:color w:val="auto"/>
                <w:kern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auto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Times New Roman"/>
                <w:color w:val="auto"/>
                <w:kern w:val="0"/>
                <w:sz w:val="20"/>
                <w:szCs w:val="20"/>
              </w:rPr>
              <w:t>.1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auto"/>
                <w:kern w:val="0"/>
                <w:sz w:val="20"/>
                <w:szCs w:val="20"/>
              </w:rPr>
              <w:t>3000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auto"/>
                <w:kern w:val="0"/>
                <w:sz w:val="20"/>
                <w:szCs w:val="20"/>
              </w:rPr>
              <w:t>39300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auto"/>
                <w:kern w:val="0"/>
                <w:sz w:val="20"/>
                <w:szCs w:val="20"/>
              </w:rPr>
              <w:t>厦门/厦门强力巨彩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控制系统（LED屏定制控制卡）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定制开发、支持多种字符格式显示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张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9520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数据传输模块（DTU）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武汉新烽光电/XF-DTU-N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供电范围：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DC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-26V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网络制式：GPRS/CDMA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工作温度：-30℃ ~ 60℃ （无结冰）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工作湿度：&lt; 95%RH（无凝露）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存储温度：-40℃~80℃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外形尺寸：80x48x24mm(长x宽x高)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5680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太阳能电池板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武汉新烽光电/</w:t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D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BF40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1. 材质：多晶硅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2. 封装形式：高透钢化玻璃层压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 功率： 40W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4. 输出电压：12VDC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5. 峰值电压：17.5V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6. 峰值电流：1.7A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太阳能控制器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1.最大充电电流（50℃）：10A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2.最大负载电流（50℃）：10A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3.系统电压：12VDC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4.最大自损耗：4mA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5.最终充电电压：13.7V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6.过放保护值：11.1V(SOC=30%)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7.过放恢复值：12.6V(SOC=50%)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8. 温度补偿：-3mV/K/Cell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9. 工作环境温度：-25℃ ～ 50℃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10.接线端子截面积：4mm2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11.防护等级：IP22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胶体蓄电池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电压：直流1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2V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.38AH/12V免维护蓄电池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工作环境：-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℃~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70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℃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 不低于5年的使用寿命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块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避雷针/导线及防雷设施（制）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Umin：12V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Umax：18V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应用：RS232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保护脚：1～9脚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最大容通电流：340A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动作时间：＜10ns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电容：＜30pF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460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警示水尺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定制300*2000*1mm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处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激光保护管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VC</w:t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、定制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通信线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RVV4*1.5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电缆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RVV4*1.5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电源线埋设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LED屏体外接电源线及敷设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3200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屏体专用电源线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屏内部走线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防水箱体，钢结构外框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定制、不锈钢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.1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190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4890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电源防浪涌保护器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1.标称放电电流In≥20KA（8/20μs波形）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.额定直流电压Un≤60 V时，电压保护水平Up≤1.1 kV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电涌保护器的最大持续运行电压Ucpv不应小于光伏系统设备在标准测试条件下开路电压Uoc stc的1.3倍。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0560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渍水监测立杆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1.材质：镀锌钢管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2.壁厚：4mm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3.管径：110</w:t>
            </w:r>
            <w:r>
              <w:rPr>
                <w:rFonts w:ascii="宋体" w:hAnsi="宋体"/>
                <w:sz w:val="20"/>
                <w:szCs w:val="20"/>
              </w:rPr>
              <w:t>mm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4.高度：3.5m（不含避雷针）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5.工艺：烤漆，警示语标注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根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860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4880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ED</w:t>
            </w: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屏立杆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1.材质：镀锌无缝钢管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2.壁厚：</w:t>
            </w:r>
            <w:r>
              <w:rPr>
                <w:rFonts w:ascii="宋体" w:hAnsi="宋体"/>
                <w:sz w:val="20"/>
                <w:szCs w:val="20"/>
              </w:rPr>
              <w:t>6</w:t>
            </w:r>
            <w:r>
              <w:rPr>
                <w:rFonts w:hint="eastAsia" w:ascii="宋体" w:hAnsi="宋体"/>
                <w:sz w:val="20"/>
                <w:szCs w:val="20"/>
              </w:rPr>
              <w:t>mm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3.管径：</w:t>
            </w:r>
            <w:r>
              <w:rPr>
                <w:rFonts w:ascii="宋体" w:hAnsi="宋体"/>
                <w:sz w:val="20"/>
                <w:szCs w:val="20"/>
              </w:rPr>
              <w:t>273mm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4.高度：</w:t>
            </w:r>
            <w:r>
              <w:rPr>
                <w:rFonts w:ascii="宋体" w:hAnsi="宋体"/>
                <w:sz w:val="20"/>
                <w:szCs w:val="20"/>
              </w:rPr>
              <w:t>6</w:t>
            </w:r>
            <w:r>
              <w:rPr>
                <w:rFonts w:hint="eastAsia" w:ascii="宋体" w:hAnsi="宋体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根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2560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施工、安装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土方开挖、回填、钢筋混凝土结构，吊装及其他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运输、保险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武汉新烽光电/定制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调试集成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现场设备调试、系统集成、现场技术指导、培训、后期技术支持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600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数据接收入库软件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武汉新烽光电/定制开发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自动接收监测站点数据，并按要求与水务局现有数据库对接，数据入库。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微信公众号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武汉新烽光电/定制开发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1）信息发布功能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提供多种信息、记录入库修改方式。系统能够自动合成静态页面。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2）积水信息查询功能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关注绑定以后自动推送信息。可查询各站点的实时数据与历史数据。站点积水报警信息自动推送。列表形式展示各站点实时积水、告警水位、设备电压信息。以图表形式展现各站点积水变化过程。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0"/>
                <w:szCs w:val="20"/>
              </w:rPr>
              <w:t>武汉/武汉新烽光电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16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Times New Roman"/>
                <w:b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102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b/>
                <w:color w:val="000000"/>
                <w:kern w:val="0"/>
                <w:sz w:val="22"/>
                <w:szCs w:val="20"/>
              </w:rPr>
              <w:t xml:space="preserve">大写：陆拾贰万肆仟陆佰伍拾圆  </w:t>
            </w:r>
            <w:r>
              <w:rPr>
                <w:rFonts w:ascii="宋体" w:hAnsi="宋体" w:cs="Times New Roman"/>
                <w:b/>
                <w:color w:val="000000"/>
                <w:kern w:val="0"/>
                <w:sz w:val="22"/>
                <w:szCs w:val="20"/>
              </w:rPr>
              <w:t xml:space="preserve">                                       </w:t>
            </w:r>
            <w:r>
              <w:rPr>
                <w:rFonts w:hint="eastAsia" w:ascii="宋体" w:hAnsi="宋体" w:cs="Times New Roman"/>
                <w:b/>
                <w:color w:val="000000"/>
                <w:kern w:val="0"/>
                <w:sz w:val="22"/>
                <w:szCs w:val="20"/>
              </w:rPr>
              <w:t>小写：6</w:t>
            </w:r>
            <w:r>
              <w:rPr>
                <w:rFonts w:ascii="宋体" w:hAnsi="宋体" w:cs="Times New Roman"/>
                <w:b/>
                <w:color w:val="000000"/>
                <w:kern w:val="0"/>
                <w:sz w:val="22"/>
                <w:szCs w:val="20"/>
              </w:rPr>
              <w:t>24650</w:t>
            </w:r>
            <w:r>
              <w:rPr>
                <w:rFonts w:hint="eastAsia" w:ascii="宋体" w:hAnsi="宋体" w:cs="Times New Roman"/>
                <w:b/>
                <w:color w:val="000000"/>
                <w:kern w:val="0"/>
                <w:sz w:val="22"/>
                <w:szCs w:val="20"/>
              </w:rPr>
              <w:t>（元）</w:t>
            </w:r>
          </w:p>
        </w:tc>
      </w:tr>
    </w:tbl>
    <w:p>
      <w:pPr>
        <w:ind w:firstLine="480"/>
        <w:rPr>
          <w:rFonts w:ascii="宋体" w:hAnsi="宋体"/>
        </w:rPr>
      </w:pPr>
    </w:p>
    <w:p>
      <w:pPr>
        <w:ind w:left="0" w:leftChars="0" w:firstLine="0" w:firstLineChars="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38D0"/>
    <w:multiLevelType w:val="multilevel"/>
    <w:tmpl w:val="068B38D0"/>
    <w:lvl w:ilvl="0" w:tentative="0">
      <w:start w:val="1"/>
      <w:numFmt w:val="decimal"/>
      <w:lvlText w:val="%1"/>
      <w:lvlJc w:val="left"/>
      <w:pPr>
        <w:ind w:left="0" w:firstLine="0"/>
      </w:pPr>
      <w:rPr>
        <w:rFonts w:hint="default" w:ascii="Times New Roman" w:hAnsi="Times New Roman" w:eastAsia="宋体"/>
        <w:sz w:val="32"/>
      </w:rPr>
    </w:lvl>
    <w:lvl w:ilvl="1" w:tentative="0">
      <w:start w:val="1"/>
      <w:numFmt w:val="decimal"/>
      <w:pStyle w:val="2"/>
      <w:lvlText w:val="%1.%2"/>
      <w:lvlJc w:val="left"/>
      <w:pPr>
        <w:ind w:left="0" w:firstLine="0"/>
      </w:pPr>
      <w:rPr>
        <w:rFonts w:hint="default" w:ascii="Times New Roman" w:hAnsi="Times New Roman" w:eastAsia="宋体"/>
        <w:sz w:val="30"/>
      </w:rPr>
    </w:lvl>
    <w:lvl w:ilvl="2" w:tentative="0">
      <w:start w:val="1"/>
      <w:numFmt w:val="decimal"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1610E"/>
    <w:rsid w:val="4861610E"/>
    <w:rsid w:val="4F00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spacing w:before="50" w:beforeLines="50" w:after="50" w:afterLines="50"/>
      <w:ind w:firstLineChars="0"/>
      <w:outlineLvl w:val="1"/>
    </w:pPr>
    <w:rPr>
      <w:rFonts w:cstheme="majorBidi"/>
      <w:b/>
      <w:bCs/>
      <w:sz w:val="30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2019-02-18T02:33:00Z</dcterms:created>
  <dc:creator>Administrator</dc:creator>
  <cp:lastModifiedBy>Administrator</cp:lastModifiedBy>
  <dcterms:modified xsi:type="dcterms:W3CDTF">2019-02-18T02:55:01Z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